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6F" w:rsidRPr="00503F6F" w:rsidRDefault="00503F6F" w:rsidP="00503F6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503F6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503F6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Suits on Bonds</w:t>
      </w:r>
    </w:p>
    <w:p w:rsidR="00503F6F" w:rsidRPr="00503F6F" w:rsidRDefault="00503F6F" w:rsidP="00503F6F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03F6F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03F6F">
        <w:rPr>
          <w:rFonts w:ascii="Arial" w:eastAsia="Times New Roman" w:hAnsi="Arial" w:cs="Arial"/>
          <w:color w:val="000000"/>
          <w:sz w:val="20"/>
          <w:szCs w:val="20"/>
        </w:rPr>
        <w:t>The bond is not the defendant's bond.</w:t>
      </w:r>
    </w:p>
    <w:p w:rsidR="00503F6F" w:rsidRPr="00503F6F" w:rsidRDefault="00503F6F" w:rsidP="00503F6F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03F6F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03F6F">
        <w:rPr>
          <w:rFonts w:ascii="Arial" w:eastAsia="Times New Roman" w:hAnsi="Arial" w:cs="Arial"/>
          <w:color w:val="000000"/>
          <w:sz w:val="20"/>
          <w:szCs w:val="20"/>
        </w:rPr>
        <w:t>The defendant made payment to the plaintiff on the day according to the condition of the bond.</w:t>
      </w:r>
    </w:p>
    <w:p w:rsidR="00F2654A" w:rsidRDefault="00503F6F" w:rsidP="00503F6F">
      <w:pPr>
        <w:spacing w:before="100" w:line="240" w:lineRule="auto"/>
        <w:ind w:left="720" w:hanging="360"/>
        <w:jc w:val="both"/>
      </w:pPr>
      <w:r w:rsidRPr="00503F6F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03F6F">
        <w:rPr>
          <w:rFonts w:ascii="Arial" w:eastAsia="Times New Roman" w:hAnsi="Arial" w:cs="Arial"/>
          <w:color w:val="000000"/>
          <w:sz w:val="20"/>
          <w:szCs w:val="20"/>
        </w:rPr>
        <w:t>The defendant made payment to the plaintiff after the day named and before suit of the principal and interest mentioned in the bond.</w:t>
      </w:r>
      <w:bookmarkStart w:id="0" w:name="_GoBack"/>
      <w:bookmarkEnd w:id="0"/>
    </w:p>
    <w:sectPr w:rsidR="00F2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6F"/>
    <w:rsid w:val="00503F6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2019-07-21T06:16:00Z</dcterms:created>
  <dcterms:modified xsi:type="dcterms:W3CDTF">2019-07-21T06:16:00Z</dcterms:modified>
</cp:coreProperties>
</file>